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pStyle w:val="Prrafodelista"/>
        <w:ind w:left="360"/>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caps/>
          <w:sz w:val="22"/>
          <w:szCs w:val="22"/>
          <w:lang w:val="es-MX"/>
        </w:rPr>
      </w:pPr>
      <w:r w:rsidRPr="002B7E4F">
        <w:rPr>
          <w:rFonts w:ascii="Arial" w:hAnsi="Arial" w:cs="Arial"/>
          <w:b/>
          <w:caps/>
          <w:sz w:val="22"/>
          <w:szCs w:val="22"/>
          <w:lang w:val="es-MX"/>
        </w:rPr>
        <w:t>EP</w:t>
      </w:r>
      <w:r w:rsidR="00715976">
        <w:rPr>
          <w:rFonts w:ascii="Arial" w:hAnsi="Arial" w:cs="Arial"/>
          <w:b/>
          <w:caps/>
          <w:sz w:val="22"/>
          <w:szCs w:val="22"/>
          <w:lang w:val="es-MX"/>
        </w:rPr>
        <w:t>.</w:t>
      </w:r>
      <w:r w:rsidRPr="002B7E4F">
        <w:rPr>
          <w:rFonts w:ascii="Arial" w:hAnsi="Arial" w:cs="Arial"/>
          <w:b/>
          <w:caps/>
          <w:sz w:val="22"/>
          <w:szCs w:val="22"/>
          <w:lang w:val="es-MX"/>
        </w:rPr>
        <w:t xml:space="preserve"> 90</w:t>
      </w:r>
      <w:r w:rsidR="00715976">
        <w:rPr>
          <w:rFonts w:ascii="Arial" w:hAnsi="Arial" w:cs="Arial"/>
          <w:b/>
          <w:caps/>
          <w:sz w:val="22"/>
          <w:szCs w:val="22"/>
          <w:lang w:val="es-MX"/>
        </w:rPr>
        <w:t>.-</w:t>
      </w:r>
      <w:r w:rsidRPr="002B7E4F">
        <w:rPr>
          <w:rFonts w:ascii="Arial" w:hAnsi="Arial" w:cs="Arial"/>
          <w:b/>
          <w:caps/>
          <w:sz w:val="22"/>
          <w:szCs w:val="22"/>
          <w:lang w:val="es-MX"/>
        </w:rPr>
        <w:t xml:space="preserve"> BOMBA HIDRONEUMÁTICO DE 7.5 HP, ESTACIONES ELEVADAS</w:t>
      </w:r>
    </w:p>
    <w:p w:rsidR="002B7E4F" w:rsidRPr="002B7E4F" w:rsidRDefault="002B7E4F" w:rsidP="002B7E4F">
      <w:pPr>
        <w:jc w:val="both"/>
        <w:rPr>
          <w:rFonts w:ascii="Arial" w:hAnsi="Arial" w:cs="Arial"/>
          <w:b/>
          <w:caps/>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Suministro y colocación de dos motobombas verticales </w:t>
      </w:r>
      <w:proofErr w:type="spellStart"/>
      <w:r w:rsidRPr="002B7E4F">
        <w:rPr>
          <w:rFonts w:ascii="Arial" w:hAnsi="Arial" w:cs="Arial"/>
          <w:sz w:val="22"/>
          <w:szCs w:val="22"/>
        </w:rPr>
        <w:t>multipasos</w:t>
      </w:r>
      <w:proofErr w:type="spellEnd"/>
      <w:r w:rsidRPr="002B7E4F">
        <w:rPr>
          <w:rFonts w:ascii="Arial" w:hAnsi="Arial" w:cs="Arial"/>
          <w:sz w:val="22"/>
          <w:szCs w:val="22"/>
        </w:rPr>
        <w:t xml:space="preserve"> marca PICSA mod.PEVMU5-16 de 16 etapas con succión y descarga en línea de 1 - 1/4",  con sello mecánico, acoplada  directamente a motor eléctrico de 7.5 HP a 3500RPM para operar con corriente alterna de 60 ciclos, 3 fases, 230-460 volts.                                                                                                           Incluye: mano de obra, equipo, herramientas, elevaciones, trazo, nivelación, elementos de fijación, limpieza, pruebas, puesta en servicio y todo lo necesario para su correcta ejecución.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                                  </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4"/>
        </w:numPr>
        <w:rPr>
          <w:rFonts w:ascii="Arial" w:hAnsi="Arial" w:cs="Arial"/>
          <w:b/>
          <w:sz w:val="22"/>
          <w:szCs w:val="22"/>
        </w:rPr>
      </w:pPr>
      <w:bookmarkStart w:id="1" w:name="_Toc368180124"/>
      <w:r w:rsidRPr="002B7E4F">
        <w:rPr>
          <w:rFonts w:ascii="Arial" w:hAnsi="Arial" w:cs="Arial"/>
          <w:b/>
          <w:sz w:val="22"/>
          <w:szCs w:val="22"/>
        </w:rPr>
        <w:t>Características Técnicas</w:t>
      </w:r>
      <w:bookmarkEnd w:id="1"/>
    </w:p>
    <w:p w:rsidR="002B7E4F" w:rsidRPr="002B7E4F" w:rsidRDefault="002B7E4F" w:rsidP="002B7E4F">
      <w:pPr>
        <w:jc w:val="both"/>
        <w:rPr>
          <w:rFonts w:ascii="Arial" w:hAnsi="Arial" w:cs="Arial"/>
          <w:sz w:val="22"/>
          <w:szCs w:val="22"/>
        </w:rPr>
      </w:pPr>
      <w:r w:rsidRPr="002B7E4F">
        <w:rPr>
          <w:rFonts w:ascii="Arial" w:hAnsi="Arial" w:cs="Arial"/>
          <w:sz w:val="22"/>
          <w:szCs w:val="22"/>
        </w:rPr>
        <w:tab/>
      </w:r>
    </w:p>
    <w:p w:rsidR="002B7E4F" w:rsidRPr="002B7E4F" w:rsidRDefault="002B7E4F" w:rsidP="00462F48">
      <w:pPr>
        <w:pStyle w:val="TITULO-4"/>
        <w:numPr>
          <w:ilvl w:val="3"/>
          <w:numId w:val="14"/>
        </w:numPr>
        <w:rPr>
          <w:spacing w:val="-1"/>
          <w:sz w:val="22"/>
          <w:szCs w:val="22"/>
        </w:rPr>
      </w:pPr>
      <w:bookmarkStart w:id="2" w:name="_Toc368180125"/>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Las características de los equipos seleccionados se han basado en la siguiente tabla y ha servido de guía para la selección de las mismas.</w:t>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3558508" cy="4019550"/>
            <wp:effectExtent l="0" t="0" r="0"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srcRect/>
                    <a:stretch>
                      <a:fillRect/>
                    </a:stretch>
                  </pic:blipFill>
                  <pic:spPr bwMode="auto">
                    <a:xfrm>
                      <a:off x="0" y="0"/>
                      <a:ext cx="3559426" cy="4020587"/>
                    </a:xfrm>
                    <a:prstGeom prst="rect">
                      <a:avLst/>
                    </a:prstGeom>
                    <a:noFill/>
                    <a:ln w="9525">
                      <a:noFill/>
                      <a:miter lim="800000"/>
                      <a:headEnd/>
                      <a:tailEnd/>
                    </a:ln>
                  </pic:spPr>
                </pic:pic>
              </a:graphicData>
            </a:graphic>
          </wp:inline>
        </w:drawing>
      </w:r>
    </w:p>
    <w:p w:rsidR="002B7E4F" w:rsidRPr="002B7E4F" w:rsidRDefault="002B7E4F" w:rsidP="002B7E4F">
      <w:pPr>
        <w:ind w:left="-851"/>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6390377" cy="4692770"/>
            <wp:effectExtent l="1905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srcRect b="32811"/>
                    <a:stretch>
                      <a:fillRect/>
                    </a:stretch>
                  </pic:blipFill>
                  <pic:spPr bwMode="auto">
                    <a:xfrm>
                      <a:off x="0" y="0"/>
                      <a:ext cx="6393073" cy="469475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deberá cumplir con las características técnicas y funcionales enmarcadas en el proyecto ejecutivo o en esta especificación técnica.</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4"/>
        </w:numPr>
        <w:rPr>
          <w:spacing w:val="-1"/>
          <w:sz w:val="22"/>
          <w:szCs w:val="22"/>
        </w:rPr>
      </w:pPr>
      <w:bookmarkStart w:id="3" w:name="_Toc368180126"/>
      <w:r w:rsidRPr="002B7E4F">
        <w:rPr>
          <w:spacing w:val="-1"/>
          <w:sz w:val="22"/>
          <w:szCs w:val="22"/>
        </w:rPr>
        <w:t>Operación y control.</w:t>
      </w:r>
      <w:bookmarkEnd w:id="3"/>
    </w:p>
    <w:p w:rsidR="002B7E4F" w:rsidRPr="002B7E4F" w:rsidRDefault="002B7E4F" w:rsidP="002B7E4F">
      <w:pPr>
        <w:jc w:val="both"/>
        <w:rPr>
          <w:rFonts w:ascii="Arial" w:hAnsi="Arial" w:cs="Arial"/>
          <w:sz w:val="22"/>
          <w:szCs w:val="22"/>
        </w:rPr>
      </w:pPr>
      <w:r w:rsidRPr="002B7E4F">
        <w:rPr>
          <w:rFonts w:ascii="Arial" w:hAnsi="Arial" w:cs="Arial"/>
          <w:sz w:val="22"/>
          <w:szCs w:val="22"/>
        </w:rPr>
        <w:t>La operación y el control de los equipos de bombeo de los sistemas hidroneumáticos deberán ser de manera remota y automática y estará en función de los niveles de agua que contenga la cisterna de almacenamiento de agua potable.</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bombeo contará con un sistema de accionamiento automático, programado de tal forma que ante una o varios niveles de agua sea capaz de arrancar y parar de forma automática.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Este sistema también tendrá la opción a cambiarse de forma manual para casos de mantenimiento en el sitio de la instalación o bien para pruebas locales o desmontajes.</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La operación y el control remoto estarán dispuestos para que se mantenga la comunicación de forma remota ya bien desde el centro de control de la línea o bien desde el local jefe de estación.</w:t>
      </w:r>
    </w:p>
    <w:p w:rsidR="002B7E4F" w:rsidRPr="002B7E4F" w:rsidRDefault="002B7E4F" w:rsidP="002B7E4F">
      <w:pPr>
        <w:jc w:val="both"/>
        <w:rPr>
          <w:rFonts w:ascii="Arial" w:hAnsi="Arial" w:cs="Arial"/>
          <w:sz w:val="22"/>
          <w:szCs w:val="22"/>
          <w:lang w:eastAsia="ca-ES"/>
        </w:rPr>
      </w:pPr>
    </w:p>
    <w:p w:rsidR="002B7E4F" w:rsidRPr="002B7E4F" w:rsidRDefault="002B7E4F" w:rsidP="00462F48">
      <w:pPr>
        <w:pStyle w:val="TITULO-3"/>
        <w:numPr>
          <w:ilvl w:val="2"/>
          <w:numId w:val="14"/>
        </w:numPr>
        <w:tabs>
          <w:tab w:val="clear" w:pos="1440"/>
          <w:tab w:val="num" w:pos="851"/>
        </w:tabs>
        <w:ind w:left="851" w:hanging="851"/>
        <w:rPr>
          <w:rFonts w:ascii="Arial" w:hAnsi="Arial" w:cs="Arial"/>
          <w:b/>
          <w:sz w:val="22"/>
          <w:szCs w:val="22"/>
        </w:rPr>
      </w:pPr>
      <w:bookmarkStart w:id="4" w:name="_Toc368180127"/>
      <w:r w:rsidRPr="002B7E4F">
        <w:rPr>
          <w:rFonts w:ascii="Arial" w:hAnsi="Arial" w:cs="Arial"/>
          <w:b/>
          <w:sz w:val="22"/>
          <w:szCs w:val="22"/>
        </w:rPr>
        <w:t>Ejecución de Obra</w:t>
      </w:r>
      <w:bookmarkEnd w:id="4"/>
    </w:p>
    <w:p w:rsidR="002B7E4F" w:rsidRPr="002B7E4F" w:rsidRDefault="002B7E4F" w:rsidP="00462F48">
      <w:pPr>
        <w:pStyle w:val="TITULO-4"/>
        <w:numPr>
          <w:ilvl w:val="3"/>
          <w:numId w:val="14"/>
        </w:numPr>
        <w:rPr>
          <w:sz w:val="22"/>
          <w:szCs w:val="22"/>
        </w:rPr>
      </w:pPr>
      <w:bookmarkStart w:id="5" w:name="_Toc368180128"/>
      <w:r w:rsidRPr="002B7E4F">
        <w:rPr>
          <w:sz w:val="22"/>
          <w:szCs w:val="22"/>
        </w:rPr>
        <w:t>Trabajos preliminares</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los equipos de bombeo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equipos y desde el periodo de fabricación de las mismas. </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4"/>
        </w:numPr>
        <w:rPr>
          <w:sz w:val="22"/>
          <w:szCs w:val="22"/>
        </w:rPr>
      </w:pPr>
      <w:bookmarkStart w:id="6" w:name="_Toc368180129"/>
      <w:r w:rsidRPr="002B7E4F">
        <w:rPr>
          <w:sz w:val="22"/>
          <w:szCs w:val="22"/>
        </w:rPr>
        <w:t>Almacenaje y transporte.</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4"/>
        </w:numPr>
        <w:rPr>
          <w:sz w:val="22"/>
          <w:szCs w:val="22"/>
        </w:rPr>
      </w:pPr>
      <w:bookmarkStart w:id="7" w:name="_Toc368180130"/>
      <w:r w:rsidRPr="002B7E4F">
        <w:rPr>
          <w:sz w:val="22"/>
          <w:szCs w:val="22"/>
        </w:rPr>
        <w:t>Instalación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los equipos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w:t>
      </w:r>
      <w:r w:rsidRPr="002B7E4F">
        <w:rPr>
          <w:rFonts w:ascii="Arial" w:hAnsi="Arial" w:cs="Arial"/>
          <w:sz w:val="22"/>
          <w:szCs w:val="22"/>
        </w:rPr>
        <w:lastRenderedPageBreak/>
        <w:t xml:space="preserve">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de los equipos de bombeo,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4"/>
        </w:numPr>
        <w:tabs>
          <w:tab w:val="clear" w:pos="1440"/>
          <w:tab w:val="num" w:pos="851"/>
        </w:tabs>
        <w:ind w:left="851" w:hanging="851"/>
        <w:rPr>
          <w:rFonts w:ascii="Arial" w:hAnsi="Arial" w:cs="Arial"/>
          <w:b/>
          <w:sz w:val="22"/>
          <w:szCs w:val="22"/>
        </w:rPr>
      </w:pPr>
      <w:bookmarkStart w:id="8" w:name="_Toc368180131"/>
      <w:r w:rsidRPr="002B7E4F">
        <w:rPr>
          <w:rFonts w:ascii="Arial" w:hAnsi="Arial" w:cs="Arial"/>
          <w:b/>
          <w:sz w:val="22"/>
          <w:szCs w:val="22"/>
        </w:rPr>
        <w:t>Medición</w:t>
      </w:r>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equipos de bombeo 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Conexiones de  tableros de control, limpieza del área de trabajo. También se incluirán en el presente concepto todos los arreglos de tuberías y accesorios que permitan el correcto funcionamiento de dichos equipos. De este modo, se considerarán todos los arreglos y conexiones de las bombas tales como cabezales, tomas de succión desde el </w:t>
      </w:r>
      <w:proofErr w:type="spellStart"/>
      <w:r w:rsidRPr="002B7E4F">
        <w:rPr>
          <w:rFonts w:ascii="Arial" w:hAnsi="Arial" w:cs="Arial"/>
          <w:sz w:val="22"/>
          <w:szCs w:val="22"/>
        </w:rPr>
        <w:t>cárcamoa</w:t>
      </w:r>
      <w:proofErr w:type="spellEnd"/>
      <w:r w:rsidRPr="002B7E4F">
        <w:rPr>
          <w:rFonts w:ascii="Arial" w:hAnsi="Arial" w:cs="Arial"/>
          <w:sz w:val="22"/>
          <w:szCs w:val="22"/>
        </w:rPr>
        <w:t xml:space="preserve"> a la bomba y de la bomba hacia la descarga principal. Se contemplarán además todas las piezas especiales que conlleve la conexión de dichos equipos, soportes de tuberías tanto a nivel de piso o bien </w:t>
      </w:r>
      <w:proofErr w:type="spellStart"/>
      <w:r w:rsidRPr="002B7E4F">
        <w:rPr>
          <w:rFonts w:ascii="Arial" w:hAnsi="Arial" w:cs="Arial"/>
          <w:sz w:val="22"/>
          <w:szCs w:val="22"/>
        </w:rPr>
        <w:t>colganteos</w:t>
      </w:r>
      <w:proofErr w:type="spellEnd"/>
      <w:r w:rsidRPr="002B7E4F">
        <w:rPr>
          <w:rFonts w:ascii="Arial" w:hAnsi="Arial" w:cs="Arial"/>
          <w:sz w:val="22"/>
          <w:szCs w:val="22"/>
        </w:rPr>
        <w:t xml:space="preserve">, válvulas de control, válvulas de paso, válvulas de alivio, válvulas de compuerta,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especial para los equipos o bien para las tuberías, conexiones, tomas todo de acuerdo a lo indicado por el proyecto ejecutivo.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14"/>
        </w:numPr>
        <w:tabs>
          <w:tab w:val="clear" w:pos="1440"/>
          <w:tab w:val="num" w:pos="851"/>
        </w:tabs>
        <w:ind w:left="851" w:hanging="851"/>
        <w:rPr>
          <w:rFonts w:ascii="Arial" w:hAnsi="Arial" w:cs="Arial"/>
          <w:b/>
          <w:sz w:val="22"/>
          <w:szCs w:val="22"/>
        </w:rPr>
      </w:pPr>
      <w:bookmarkStart w:id="9" w:name="_Toc368180132"/>
      <w:r w:rsidRPr="002B7E4F">
        <w:rPr>
          <w:rFonts w:ascii="Arial" w:hAnsi="Arial" w:cs="Arial"/>
          <w:b/>
          <w:sz w:val="22"/>
          <w:szCs w:val="22"/>
        </w:rPr>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bombas deberán ser </w:t>
      </w:r>
      <w:proofErr w:type="gramStart"/>
      <w:r w:rsidRPr="002B7E4F">
        <w:rPr>
          <w:rFonts w:ascii="Arial" w:hAnsi="Arial" w:cs="Arial"/>
          <w:sz w:val="22"/>
          <w:szCs w:val="22"/>
        </w:rPr>
        <w:t>probados</w:t>
      </w:r>
      <w:proofErr w:type="gramEnd"/>
      <w:r w:rsidRPr="002B7E4F">
        <w:rPr>
          <w:rFonts w:ascii="Arial" w:hAnsi="Arial" w:cs="Arial"/>
          <w:sz w:val="22"/>
          <w:szCs w:val="22"/>
        </w:rPr>
        <w:t xml:space="preserve"> en fábrica y en el sitio, ya instalados, en eventos de paro y arranque, de forma individual y en conjunto.</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lastRenderedPageBreak/>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de acuerdo a lo indicado por las normativas aplicables y bajo los estándares internacionales.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4"/>
        </w:numPr>
        <w:rPr>
          <w:sz w:val="22"/>
          <w:szCs w:val="22"/>
        </w:rPr>
      </w:pPr>
      <w:bookmarkStart w:id="10" w:name="_Toc368180133"/>
      <w:r w:rsidRPr="002B7E4F">
        <w:rPr>
          <w:sz w:val="22"/>
          <w:szCs w:val="22"/>
        </w:rPr>
        <w:t>Garantías de calidad</w:t>
      </w:r>
      <w:bookmarkEnd w:id="10"/>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4"/>
        </w:numPr>
        <w:rPr>
          <w:sz w:val="22"/>
          <w:szCs w:val="22"/>
        </w:rPr>
      </w:pPr>
      <w:bookmarkStart w:id="11" w:name="_Toc368180134"/>
      <w:r w:rsidRPr="002B7E4F">
        <w:rPr>
          <w:sz w:val="22"/>
          <w:szCs w:val="22"/>
        </w:rPr>
        <w:t>Garantías técnicas</w:t>
      </w:r>
      <w:bookmarkEnd w:id="11"/>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4"/>
        </w:numPr>
        <w:tabs>
          <w:tab w:val="clear" w:pos="1440"/>
          <w:tab w:val="num" w:pos="851"/>
        </w:tabs>
        <w:ind w:left="851" w:hanging="851"/>
        <w:rPr>
          <w:rFonts w:ascii="Arial" w:hAnsi="Arial" w:cs="Arial"/>
          <w:b/>
          <w:sz w:val="22"/>
          <w:szCs w:val="22"/>
        </w:rPr>
      </w:pPr>
      <w:bookmarkStart w:id="12" w:name="_Toc368180135"/>
      <w:r w:rsidRPr="002B7E4F">
        <w:rPr>
          <w:rFonts w:ascii="Arial" w:hAnsi="Arial" w:cs="Arial"/>
          <w:b/>
          <w:sz w:val="22"/>
          <w:szCs w:val="22"/>
        </w:rPr>
        <w:t>Base de Pago</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pago por unidad de obra terminada se hará al precio unitario fijado en el contrato, entendiéndose que las obras correspondientes a los conceptos allí desarrollados, están </w:t>
      </w:r>
      <w:r w:rsidRPr="002B7E4F">
        <w:rPr>
          <w:rFonts w:ascii="Arial" w:hAnsi="Arial" w:cs="Arial"/>
          <w:sz w:val="22"/>
          <w:szCs w:val="22"/>
        </w:rPr>
        <w:lastRenderedPageBreak/>
        <w:t>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1"/>
      <w:footerReference w:type="even" r:id="rId12"/>
      <w:footerReference w:type="default" r:id="rId13"/>
      <w:footerReference w:type="first" r:id="rId14"/>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A6D51">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A6D51"/>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0A1EC-603F-485E-BE8C-496509B5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1597</Words>
  <Characters>8858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2014-04-10T22:10:00Z</dcterms:created>
  <dcterms:modified xsi:type="dcterms:W3CDTF">2014-04-10T22:10:00Z</dcterms:modified>
</cp:coreProperties>
</file>